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       考试科目名称:</w:t>
      </w:r>
      <w:r>
        <w:rPr>
          <w:rFonts w:hint="eastAsia" w:ascii="宋体" w:hAnsi="宋体"/>
          <w:b/>
          <w:sz w:val="28"/>
        </w:rPr>
        <w:t>中国社会学史（复试）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pStyle w:val="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中国社会学近百年的发展历史脉络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要求考生了解中国社会学的兴起、演变和当代中国社会学重要分支学科的发展。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二、对现代、当代中国社会学家的思想有所了解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对当前中国社会学家的思想、社会治理与建设有社会学意义上的理解和把握。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考试总分：180分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考试题型：名词（50分）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简答（70分）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论述（60分）</w:t>
            </w:r>
          </w:p>
          <w:p>
            <w:pPr>
              <w:pStyle w:val="2"/>
              <w:rPr>
                <w:rFonts w:hint="eastAsia" w:hAnsi="宋体"/>
                <w:szCs w:val="24"/>
                <w:lang w:val="en-US" w:eastAsia="zh-CN"/>
              </w:rPr>
            </w:pPr>
          </w:p>
        </w:tc>
      </w:tr>
    </w:tbl>
    <w:p>
      <w:pPr>
        <w:adjustRightInd w:val="0"/>
        <w:snapToGrid w:val="0"/>
        <w:rPr>
          <w:rFonts w:hint="eastAsia" w:ascii="宋体" w:hAnsi="宋体"/>
          <w:b/>
          <w:sz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lvl w:ilvl="0" w:tentative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F42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  <w:style w:type="paragraph" w:customStyle="1" w:styleId="5">
    <w:name w:val="彩色列表 - 强调文字颜色 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